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Дәріс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14. </w:t>
      </w:r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Мақсаты-түрлі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деңгейдегі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билік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қоғамның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коммуникациялық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іс-қимылына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нәтижелеріне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баға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беру.</w:t>
      </w:r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Оң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пікірді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компания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жұртшылығының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қалаулы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мінез-құлқын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журналистер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түрлі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іс-шаралар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ұйымдастырады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аспектіде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вербалды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коммуникация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басқарудың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буыны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көрмелердің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тұсаукесерлердің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есік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күндерінің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салтанатты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ашылуында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салтанатты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қабылдауларда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конференцияларда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дөңгелек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үстелдерде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сөйлеуді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шешендік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өнердің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шыңына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көтеріле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үнемі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жетілдірілуі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Ресей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бизнесі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дамуының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жағдайында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көптеген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қиындықтар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PR-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қарым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қатынастың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жеткіліксіздігімен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қызметкерлерінің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ақпараттандырылуымен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түсіністіктің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деңгейімен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түсіндіріледі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мінез-құлқы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түсінікті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қабылданған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қарым-қатынас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бірқатар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ережелерді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ұстануы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>.</w:t>
      </w:r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Сөйлеу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хабары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жеткілікті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толық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дұрыс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қарапайым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түсінікті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>.</w:t>
      </w:r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Тыңдаушылардың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жартысынан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кем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әдетте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әйелдер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есте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сондықтан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артық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көңіл-күйден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эмоциялардан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аулақ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бірақ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мезгілде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тірі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қызықты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монотондылық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пен скуки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элементтерінсіз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>.</w:t>
      </w:r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Компанияны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танымал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ұстанымдарын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нығайту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конструктивтік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жасауға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бөлмеңіз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>.</w:t>
      </w:r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>PR-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тәжірибесінде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кенеттен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жалған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зиянды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қауесеттер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теріске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шығарудың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шұғыл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қажеттілігі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жағдайлар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компаниялар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қуатты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PR-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кампанияны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жедел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өткізуге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соның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брифингтер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баспасөз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конференцияларын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ұйымдастыруға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>, PR-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хабарламаларды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барлық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бұқаралық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құралдарына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таратуға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тура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келеді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>.</w:t>
      </w:r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>PR-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қарым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қатынастың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дәстүрлі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брифингтерді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қабылдауларды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конференцияларды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баспасөз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конференцияларын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презентацияларды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есік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күндерін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дөңгелек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үстелдерді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көрмелер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тәжірибелерді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қарастырайық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>.</w:t>
      </w:r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>Презентация-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шақырылған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аудиторияның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компанияның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өнімдерін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тұлғаларды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компанияның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ұсыну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түрінде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сөйлеуге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акция.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Әдетте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компанияның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тұсаукесері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ашылуына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құрылуына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сайын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жетістіктерді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өнімдердің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қызметтердің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компанияның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тұлғасын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өткізіледі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Көруге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сүруге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көріңіз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нарықтарына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филиал,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бөлімше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өкілдік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ашылатын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елде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компанияның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тұсаукесері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ұйымдастырылады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Презентациялар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баспасөз-конференциясынан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алдымен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топтардан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шақырылғандардың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санымен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бағдарламаға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бастысы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тақырыптарға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көңіл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бөлумен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ерекшеленеді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баспасөз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конференциясы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әдетте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проблемалық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тақырыптарға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арналса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презентациялар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компания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қызметіндегі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нәтижелермен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Тұсаукесерлер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тұтынушылар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серіктестер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инвесторлар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ұйымдастырылады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БАҚ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өкілдері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шақырылады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нақты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презентацияның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ұзақтығы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ұсынылатын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материалға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Кез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презентацияның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табиғи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ерекшелігі-оның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ұзақтығының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шектеулілігі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. Презентация,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баспасөз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конференциясы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сұрақтар-жауаптар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сессиясын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қарастырады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>.</w:t>
      </w:r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Презентацияны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кезеңдерден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тұрады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>.</w:t>
      </w:r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клиенттерді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тарту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компанияның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имиджін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серіктестерді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жеткізушілерді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инвесторларды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тарту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жергілікті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билік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органдарымен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қоғам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топтарымен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қарым-қатынасты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жақсарту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мақсаттар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басымдықтарын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айқындау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>.</w:t>
      </w:r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Идеяларды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мерзімін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қатысушылардың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құрамын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жиынтық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шығындардың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мөлшерін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жолымен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тұсаукесерді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концептуалдау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негіздемесі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Тұсаукесерді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күннің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екінші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жартысында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бастаған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жөн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ұзақтығы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сағаттан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аспайды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салтанатты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бөлім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— 1,5–2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кешкі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фуршет — 2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>.</w:t>
      </w:r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 xml:space="preserve">3. Презентация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бағдарламасын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. Компания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әкімшілігінде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атқаратын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шешендік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өнер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этикет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дағдысын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меңгерген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жетекші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тағайындалады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Әдетте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презентация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сценарийі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>:</w:t>
      </w:r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жүргізуші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компания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басшылары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маңызды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қонақтарды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ұсынады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презентацияның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идеясын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көрсететін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сюжеттермен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ұзақтығы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7-12 мин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болатын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жарнамалық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фильмдер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инновациялығы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маңыздылығы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өзектілігі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тұсаукесер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объектісінің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бірегейлігі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>);</w:t>
      </w:r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жүргізуші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компания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басшыларына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өнімнің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түрлерінің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технологиялардың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үлгілерін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макетін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2-3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минутқа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қысқа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>;</w:t>
      </w:r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қатысушылардың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сұрақтарына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уақыт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компания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басшылары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жетекші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мамандардың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жауаптары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>;</w:t>
      </w:r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жүргізуші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қонақтарға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тілектер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түсініктемелер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құттықтаулар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конструктивті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ескертулер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кәдесыйлар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естелік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альбомдар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белгілер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мекен-жайлар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көзделеді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5035">
        <w:rPr>
          <w:rFonts w:ascii="Times New Roman" w:hAnsi="Times New Roman" w:cs="Times New Roman"/>
          <w:sz w:val="24"/>
          <w:szCs w:val="24"/>
        </w:rPr>
        <w:t>• ;</w:t>
      </w:r>
      <w:proofErr w:type="gramEnd"/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бөлім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банкет, фуршет,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бейресми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ақпарат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алмасу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байланыстар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іскерлік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PR-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қарым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қатынастың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жүргізуді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көздейді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• </w:t>
      </w:r>
    </w:p>
    <w:p w:rsidR="00165035" w:rsidRPr="00165035" w:rsidRDefault="00165035" w:rsidP="0016503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65035">
        <w:rPr>
          <w:rFonts w:ascii="Times New Roman" w:hAnsi="Times New Roman" w:cs="Times New Roman"/>
          <w:b/>
          <w:sz w:val="24"/>
          <w:szCs w:val="24"/>
        </w:rPr>
        <w:t>Бақылау</w:t>
      </w:r>
      <w:proofErr w:type="spellEnd"/>
      <w:r w:rsidRPr="001650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b/>
          <w:sz w:val="24"/>
          <w:szCs w:val="24"/>
        </w:rPr>
        <w:t>сұрақтары</w:t>
      </w:r>
      <w:proofErr w:type="spellEnd"/>
      <w:r w:rsidRPr="00165035">
        <w:rPr>
          <w:rFonts w:ascii="Times New Roman" w:hAnsi="Times New Roman" w:cs="Times New Roman"/>
          <w:b/>
          <w:sz w:val="24"/>
          <w:szCs w:val="24"/>
        </w:rPr>
        <w:t>:</w:t>
      </w:r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 xml:space="preserve">1. Бизнес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секторын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дамытуда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ең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бағыттардың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кең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ауқымды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бизнес-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макеттерін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құрыңыз</w:t>
      </w:r>
      <w:proofErr w:type="spellEnd"/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>2. Бизнес-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жоспар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құрылымын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құрыңыз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идеяны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ілгерілету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жобасына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SWOT-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коммуникативтік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арналарды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ұсыныңыз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Нәтижеге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қол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жеткізуді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схемасын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құрыңыз</w:t>
      </w:r>
      <w:proofErr w:type="spellEnd"/>
    </w:p>
    <w:p w:rsidR="00165035" w:rsidRPr="00165035" w:rsidRDefault="00165035" w:rsidP="0016503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65035">
        <w:rPr>
          <w:rFonts w:ascii="Times New Roman" w:hAnsi="Times New Roman" w:cs="Times New Roman"/>
          <w:b/>
          <w:sz w:val="24"/>
          <w:szCs w:val="24"/>
        </w:rPr>
        <w:t>Ұсынылатын</w:t>
      </w:r>
      <w:proofErr w:type="spellEnd"/>
      <w:r w:rsidRPr="0016503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b/>
          <w:sz w:val="24"/>
          <w:szCs w:val="24"/>
        </w:rPr>
        <w:t>әдебиет</w:t>
      </w:r>
      <w:proofErr w:type="spellEnd"/>
      <w:r w:rsidRPr="00165035">
        <w:rPr>
          <w:rFonts w:ascii="Times New Roman" w:hAnsi="Times New Roman" w:cs="Times New Roman"/>
          <w:b/>
          <w:sz w:val="24"/>
          <w:szCs w:val="24"/>
        </w:rPr>
        <w:t>:</w:t>
      </w:r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 xml:space="preserve">1. Грей К. Ф.,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Ларсон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Э. У.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. Болезней. М.:2014 </w:t>
      </w:r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Семенюта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А. Н.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құралы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. Минск: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Асар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2009. </w:t>
      </w:r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 xml:space="preserve">3. Лебедева Т. Паблик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рилейшнз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жүйелік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модельдер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. М: 2007. </w:t>
      </w:r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 xml:space="preserve">4.  Дэвид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Мирман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Скотт. Маркетинг пен PR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ережелері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. М.: Альпина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>. 2015</w:t>
      </w:r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 xml:space="preserve">5. Сазерленд Д.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жобаларды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басқарудың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революциялық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әдісі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. М. Изд.: Манн, Иванов </w:t>
      </w:r>
      <w:proofErr w:type="spellStart"/>
      <w:r w:rsidRPr="0016503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65035">
        <w:rPr>
          <w:rFonts w:ascii="Times New Roman" w:hAnsi="Times New Roman" w:cs="Times New Roman"/>
          <w:sz w:val="24"/>
          <w:szCs w:val="24"/>
        </w:rPr>
        <w:t xml:space="preserve"> Фербер, 2016</w:t>
      </w:r>
    </w:p>
    <w:p w:rsidR="00165035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</w:p>
    <w:p w:rsidR="00601A4F" w:rsidRPr="00165035" w:rsidRDefault="00165035" w:rsidP="00165035">
      <w:pPr>
        <w:rPr>
          <w:rFonts w:ascii="Times New Roman" w:hAnsi="Times New Roman" w:cs="Times New Roman"/>
          <w:sz w:val="24"/>
          <w:szCs w:val="24"/>
        </w:rPr>
      </w:pPr>
      <w:r w:rsidRPr="0016503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01A4F" w:rsidRPr="00165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7B6"/>
    <w:rsid w:val="000F17B6"/>
    <w:rsid w:val="00165035"/>
    <w:rsid w:val="0060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E13B6-F4A6-4BBE-9BAF-4BF30B35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</Words>
  <Characters>4898</Characters>
  <Application>Microsoft Office Word</Application>
  <DocSecurity>0</DocSecurity>
  <Lines>40</Lines>
  <Paragraphs>11</Paragraphs>
  <ScaleCrop>false</ScaleCrop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Мамырова Кулайым</dc:creator>
  <cp:keywords/>
  <dc:description/>
  <cp:lastModifiedBy>Мамырова Кулайым</cp:lastModifiedBy>
  <cp:revision>2</cp:revision>
  <dcterms:created xsi:type="dcterms:W3CDTF">2019-10-30T12:46:00Z</dcterms:created>
  <dcterms:modified xsi:type="dcterms:W3CDTF">2019-10-30T12:47:00Z</dcterms:modified>
</cp:coreProperties>
</file>